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24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24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line="240" w:lineRule="auto"/>
        <w:rPr>
          <w:sz w:val="22"/>
          <w:szCs w:val="22"/>
        </w:rPr>
      </w:pPr>
      <w:r w:rsidDel="00000000" w:rsidR="00000000" w:rsidRPr="00000000">
        <w:rPr>
          <w:sz w:val="22"/>
          <w:szCs w:val="22"/>
          <w:rtl w:val="0"/>
        </w:rPr>
        <w:t xml:space="preserve">ROSCI0320ZPB</w:t>
      </w:r>
    </w:p>
    <w:p w:rsidR="00000000" w:rsidDel="00000000" w:rsidP="00000000" w:rsidRDefault="00000000" w:rsidRPr="00000000" w14:paraId="00000005">
      <w:pPr>
        <w:spacing w:after="0" w:line="24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Mociar</w:t>
      </w:r>
    </w:p>
    <w:p w:rsidR="00000000" w:rsidDel="00000000" w:rsidP="00000000" w:rsidRDefault="00000000" w:rsidRPr="00000000" w14:paraId="00000008">
      <w:pPr>
        <w:spacing w:after="80" w:before="240" w:line="24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240" w:lineRule="auto"/>
        <w:rPr>
          <w:sz w:val="22"/>
          <w:szCs w:val="22"/>
        </w:rPr>
      </w:pPr>
      <w:sdt>
        <w:sdtPr>
          <w:id w:val="75967136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240" w:lineRule="auto"/>
        <w:rPr>
          <w:sz w:val="22"/>
          <w:szCs w:val="22"/>
        </w:rPr>
      </w:pPr>
      <w:sdt>
        <w:sdtPr>
          <w:id w:val="-209882227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240" w:lineRule="auto"/>
        <w:rPr>
          <w:sz w:val="22"/>
          <w:szCs w:val="22"/>
        </w:rPr>
      </w:pPr>
      <w:sdt>
        <w:sdtPr>
          <w:id w:val="30969482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24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24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24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24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24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240" w:lineRule="auto"/>
                    <w:jc w:val="center"/>
                    <w:rPr>
                      <w:sz w:val="22"/>
                      <w:szCs w:val="22"/>
                    </w:rPr>
                  </w:pPr>
                  <w:r w:rsidDel="00000000" w:rsidR="00000000" w:rsidRPr="00000000">
                    <w:rPr>
                      <w:sz w:val="22"/>
                      <w:szCs w:val="22"/>
                      <w:rtl w:val="0"/>
                    </w:rPr>
                    <w:t xml:space="preserve">5</w:t>
                  </w:r>
                </w:p>
              </w:tc>
              <w:tc>
                <w:tcPr/>
                <w:p w:rsidR="00000000" w:rsidDel="00000000" w:rsidP="00000000" w:rsidRDefault="00000000" w:rsidRPr="00000000" w14:paraId="00000013">
                  <w:pPr>
                    <w:spacing w:after="0" w:line="24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240" w:lineRule="auto"/>
                    <w:jc w:val="center"/>
                    <w:rPr>
                      <w:sz w:val="22"/>
                      <w:szCs w:val="22"/>
                    </w:rPr>
                  </w:pPr>
                  <w:r w:rsidDel="00000000" w:rsidR="00000000" w:rsidRPr="00000000">
                    <w:rPr>
                      <w:sz w:val="22"/>
                      <w:szCs w:val="22"/>
                      <w:rtl w:val="0"/>
                    </w:rPr>
                    <w:t xml:space="preserve">7</w:t>
                  </w:r>
                </w:p>
              </w:tc>
            </w:tr>
            <w:tr>
              <w:trPr>
                <w:cantSplit w:val="0"/>
                <w:tblHeader w:val="0"/>
              </w:trPr>
              <w:tc>
                <w:tcPr/>
                <w:p w:rsidR="00000000" w:rsidDel="00000000" w:rsidP="00000000" w:rsidRDefault="00000000" w:rsidRPr="00000000" w14:paraId="00000015">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24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24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24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24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24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24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24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24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24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24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24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24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24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24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24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24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24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line="24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24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24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rtl w:val="0"/>
        </w:rPr>
        <w:t xml:space="preserve">49,65</w:t>
      </w:r>
      <w:r w:rsidDel="00000000" w:rsidR="00000000" w:rsidRPr="00000000">
        <w:rPr>
          <w:rtl w:val="0"/>
        </w:rPr>
      </w:r>
    </w:p>
    <w:p w:rsidR="00000000" w:rsidDel="00000000" w:rsidP="00000000" w:rsidRDefault="00000000" w:rsidRPr="00000000" w14:paraId="00000041">
      <w:pPr>
        <w:spacing w:after="80" w:before="240" w:line="24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rtl w:val="0"/>
        </w:rPr>
        <w:t xml:space="preserve">1,26%</w:t>
      </w:r>
      <w:r w:rsidDel="00000000" w:rsidR="00000000" w:rsidRPr="00000000">
        <w:rPr>
          <w:rtl w:val="0"/>
        </w:rPr>
      </w:r>
    </w:p>
    <w:p w:rsidR="00000000" w:rsidDel="00000000" w:rsidP="00000000" w:rsidRDefault="00000000" w:rsidRPr="00000000" w14:paraId="00000043">
      <w:pPr>
        <w:spacing w:after="80" w:before="240" w:line="24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tcBorders>
              <w:top w:color="000000" w:space="0" w:sz="0" w:val="nil"/>
              <w:left w:color="000000" w:space="0" w:sz="0" w:val="nil"/>
              <w:bottom w:color="9900ff" w:space="0" w:sz="6" w:val="single"/>
              <w:right w:color="000000" w:space="0" w:sz="0" w:val="nil"/>
            </w:tcBorders>
          </w:tcPr>
          <w:p w:rsidR="00000000" w:rsidDel="00000000" w:rsidP="00000000" w:rsidRDefault="00000000" w:rsidRPr="00000000" w14:paraId="00000044">
            <w:pPr>
              <w:spacing w:after="0" w:line="240" w:lineRule="auto"/>
              <w:rPr>
                <w:sz w:val="22"/>
                <w:szCs w:val="22"/>
              </w:rPr>
            </w:pPr>
            <w:r w:rsidDel="00000000" w:rsidR="00000000" w:rsidRPr="00000000">
              <w:rPr>
                <w:sz w:val="22"/>
                <w:szCs w:val="22"/>
                <w:rtl w:val="0"/>
              </w:rPr>
              <w:t xml:space="preserve">NUTS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5">
            <w:pPr>
              <w:spacing w:after="0" w:line="240" w:lineRule="auto"/>
              <w:rPr>
                <w:sz w:val="22"/>
                <w:szCs w:val="22"/>
              </w:rPr>
            </w:pPr>
            <w:r w:rsidDel="00000000" w:rsidR="00000000" w:rsidRPr="00000000">
              <w:rPr>
                <w:sz w:val="22"/>
                <w:szCs w:val="22"/>
                <w:rtl w:val="0"/>
              </w:rPr>
              <w:t xml:space="preserve"> </w:t>
            </w:r>
          </w:p>
        </w:tc>
        <w:tc>
          <w:tcPr>
            <w:tcBorders>
              <w:top w:color="000000" w:space="0" w:sz="0" w:val="nil"/>
              <w:left w:color="000000" w:space="0" w:sz="0" w:val="nil"/>
              <w:bottom w:color="9900ff" w:space="0" w:sz="6" w:val="single"/>
              <w:right w:color="000000" w:space="0" w:sz="0" w:val="nil"/>
            </w:tcBorders>
          </w:tcPr>
          <w:p w:rsidR="00000000" w:rsidDel="00000000" w:rsidP="00000000" w:rsidRDefault="00000000" w:rsidRPr="00000000" w14:paraId="00000046">
            <w:pPr>
              <w:spacing w:after="0" w:line="24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9900ff" w:space="0" w:sz="6" w:val="single"/>
              <w:left w:color="9900ff" w:space="0" w:sz="6" w:val="single"/>
              <w:bottom w:color="9900ff" w:space="0" w:sz="6" w:val="single"/>
              <w:right w:color="9900ff" w:space="0" w:sz="6" w:val="single"/>
            </w:tcBorders>
          </w:tcPr>
          <w:p w:rsidR="00000000" w:rsidDel="00000000" w:rsidP="00000000" w:rsidRDefault="00000000" w:rsidRPr="00000000" w14:paraId="00000047">
            <w:pPr>
              <w:spacing w:after="0" w:line="240" w:lineRule="auto"/>
              <w:rPr>
                <w:sz w:val="22"/>
                <w:szCs w:val="22"/>
              </w:rPr>
            </w:pPr>
            <w:r w:rsidDel="00000000" w:rsidR="00000000" w:rsidRPr="00000000">
              <w:rPr>
                <w:sz w:val="22"/>
                <w:szCs w:val="22"/>
                <w:rtl w:val="0"/>
              </w:rPr>
              <w:t xml:space="preserve">RO12</w:t>
            </w:r>
          </w:p>
        </w:tc>
        <w:tc>
          <w:tcPr>
            <w:tcBorders>
              <w:top w:color="000000" w:space="0" w:sz="0" w:val="nil"/>
              <w:left w:color="9900ff" w:space="0" w:sz="6" w:val="single"/>
              <w:bottom w:color="000000" w:space="0" w:sz="0" w:val="nil"/>
              <w:right w:color="9900ff" w:space="0" w:sz="6" w:val="single"/>
            </w:tcBorders>
          </w:tcPr>
          <w:p w:rsidR="00000000" w:rsidDel="00000000" w:rsidP="00000000" w:rsidRDefault="00000000" w:rsidRPr="00000000" w14:paraId="00000048">
            <w:pPr>
              <w:spacing w:after="0" w:line="240" w:lineRule="auto"/>
              <w:rPr>
                <w:sz w:val="22"/>
                <w:szCs w:val="22"/>
              </w:rPr>
            </w:pPr>
            <w:r w:rsidDel="00000000" w:rsidR="00000000" w:rsidRPr="00000000">
              <w:rPr>
                <w:sz w:val="22"/>
                <w:szCs w:val="22"/>
                <w:rtl w:val="0"/>
              </w:rPr>
              <w:t xml:space="preserve"> </w:t>
            </w:r>
          </w:p>
        </w:tc>
        <w:tc>
          <w:tcPr>
            <w:tcBorders>
              <w:top w:color="9900ff" w:space="0" w:sz="6" w:val="single"/>
              <w:left w:color="9900ff" w:space="0" w:sz="6" w:val="single"/>
              <w:bottom w:color="9900ff" w:space="0" w:sz="6" w:val="single"/>
              <w:right w:color="9900ff" w:space="0" w:sz="6" w:val="single"/>
            </w:tcBorders>
          </w:tcPr>
          <w:p w:rsidR="00000000" w:rsidDel="00000000" w:rsidP="00000000" w:rsidRDefault="00000000" w:rsidRPr="00000000" w14:paraId="00000049">
            <w:pPr>
              <w:spacing w:after="0" w:line="24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24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40" w:lineRule="auto"/>
        <w:rPr>
          <w:sz w:val="22"/>
          <w:szCs w:val="22"/>
        </w:rPr>
      </w:pPr>
      <w:r w:rsidDel="00000000" w:rsidR="00000000" w:rsidRPr="00000000">
        <w:rPr>
          <w:sz w:val="22"/>
          <w:szCs w:val="22"/>
          <w:rtl w:val="0"/>
        </w:rPr>
        <w:t xml:space="preserve">Mureș</w:t>
      </w:r>
    </w:p>
    <w:p w:rsidR="00000000" w:rsidDel="00000000" w:rsidP="00000000" w:rsidRDefault="00000000" w:rsidRPr="00000000" w14:paraId="0000004C">
      <w:pPr>
        <w:spacing w:after="80" w:before="240" w:line="24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240" w:lineRule="auto"/>
              <w:rPr>
                <w:sz w:val="22"/>
                <w:szCs w:val="22"/>
              </w:rPr>
            </w:pPr>
            <w:sdt>
              <w:sdtPr>
                <w:id w:val="-2057225090"/>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240" w:lineRule="auto"/>
              <w:rPr>
                <w:sz w:val="22"/>
                <w:szCs w:val="22"/>
              </w:rPr>
            </w:pPr>
            <w:sdt>
              <w:sdtPr>
                <w:id w:val="-63142968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240" w:lineRule="auto"/>
              <w:rPr>
                <w:sz w:val="22"/>
                <w:szCs w:val="22"/>
              </w:rPr>
            </w:pPr>
            <w:sdt>
              <w:sdtPr>
                <w:id w:val="1132087365"/>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240" w:lineRule="auto"/>
              <w:rPr>
                <w:sz w:val="22"/>
                <w:szCs w:val="22"/>
              </w:rPr>
            </w:pPr>
            <w:sdt>
              <w:sdtPr>
                <w:id w:val="-144135355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240" w:lineRule="auto"/>
              <w:rPr>
                <w:sz w:val="22"/>
                <w:szCs w:val="22"/>
              </w:rPr>
            </w:pPr>
            <w:sdt>
              <w:sdtPr>
                <w:id w:val="-211689968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24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240" w:lineRule="auto"/>
              <w:rPr>
                <w:sz w:val="22"/>
                <w:szCs w:val="22"/>
              </w:rPr>
            </w:pPr>
            <w:sdt>
              <w:sdtPr>
                <w:id w:val="1598215490"/>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24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24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24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24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24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24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24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24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rtl w:val="0"/>
        </w:rPr>
        <w:t xml:space="preserve">49,65</w:t>
      </w:r>
      <w:r w:rsidDel="00000000" w:rsidR="00000000" w:rsidRPr="00000000">
        <w:rPr>
          <w:rtl w:val="0"/>
        </w:rPr>
      </w:r>
    </w:p>
    <w:p w:rsidR="00000000" w:rsidDel="00000000" w:rsidP="00000000" w:rsidRDefault="00000000" w:rsidRPr="00000000" w14:paraId="00000062">
      <w:pPr>
        <w:spacing w:after="0" w:before="160"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sz w:val="22"/>
          <w:szCs w:val="22"/>
          <w:rtl w:val="0"/>
        </w:rPr>
        <w:t xml:space="preserve">Hotărârea Consiliului Județean Mureș nr. 19/1993: Pădurea Mociar, Poiana cu narcise Gurghiu;</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RONPA0645 Pădurea Mociar, RONPA0654</w:t>
        <w:tab/>
        <w:t xml:space="preserve">Poiana cu narcise Gurghiu;</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24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68">
      <w:pPr>
        <w:spacing w:after="0" w:before="160" w:line="240" w:lineRule="auto"/>
        <w:rPr>
          <w:sz w:val="22"/>
          <w:szCs w:val="22"/>
        </w:rPr>
      </w:pPr>
      <w:r w:rsidDel="00000000" w:rsidR="00000000" w:rsidRPr="00000000">
        <w:rPr>
          <w:rtl w:val="0"/>
        </w:rPr>
      </w:r>
    </w:p>
    <w:tbl>
      <w:tblPr>
        <w:tblStyle w:val="Table8"/>
        <w:tblW w:w="8955.0" w:type="dxa"/>
        <w:jc w:val="left"/>
        <w:tblInd w:w="10.0" w:type="dxa"/>
        <w:tblLayout w:type="fixed"/>
        <w:tblLook w:val="0400"/>
      </w:tblPr>
      <w:tblGrid>
        <w:gridCol w:w="3540"/>
        <w:gridCol w:w="5415"/>
        <w:tblGridChange w:id="0">
          <w:tblGrid>
            <w:gridCol w:w="3540"/>
            <w:gridCol w:w="54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24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24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D">
            <w:pPr>
              <w:spacing w:after="0" w:line="240" w:lineRule="auto"/>
              <w:jc w:val="both"/>
              <w:rPr>
                <w:sz w:val="22"/>
                <w:szCs w:val="22"/>
              </w:rPr>
            </w:pPr>
            <w:r w:rsidDel="00000000" w:rsidR="00000000" w:rsidRPr="00000000">
              <w:rPr>
                <w:sz w:val="22"/>
                <w:szCs w:val="22"/>
                <w:rtl w:val="0"/>
              </w:rPr>
              <w:t xml:space="preserve">91Y0 Păduri dacice de stejar și carpen (Galio-Carpinetum)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240" w:lineRule="auto"/>
              <w:rPr>
                <w:b w:val="1"/>
                <w:bCs w:val="1"/>
                <w:sz w:val="22"/>
                <w:szCs w:val="22"/>
              </w:rPr>
            </w:pPr>
            <w:r w:rsidDel="00000000" w:rsidR="00000000" w:rsidRPr="00000000">
              <w:rPr>
                <w:b w:val="1"/>
                <w:bCs w:val="1"/>
                <w:sz w:val="22"/>
                <w:szCs w:val="22"/>
                <w:rtl w:val="0"/>
              </w:rPr>
              <w:t xml:space="preserve">Insecte:</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240" w:lineRule="auto"/>
              <w:rPr>
                <w:i w:val="1"/>
                <w:iCs w:val="1"/>
                <w:sz w:val="22"/>
                <w:szCs w:val="22"/>
              </w:rPr>
            </w:pPr>
            <w:r w:rsidDel="00000000" w:rsidR="00000000" w:rsidRPr="00000000">
              <w:rPr>
                <w:i w:val="1"/>
                <w:iCs w:val="1"/>
                <w:sz w:val="22"/>
                <w:szCs w:val="22"/>
                <w:rtl w:val="0"/>
              </w:rPr>
              <w:t xml:space="preserve">6966* Osmoderma eremita Complex</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3">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4">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75">
            <w:pPr>
              <w:jc w:val="both"/>
              <w:rPr/>
            </w:pPr>
            <w:r w:rsidDel="00000000" w:rsidR="00000000" w:rsidRPr="00000000">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sidDel="00000000" w:rsidR="00000000" w:rsidRPr="00000000">
              <w:rPr>
                <w:rtl w:val="0"/>
              </w:rPr>
            </w:r>
          </w:p>
          <w:p w:rsidR="00000000" w:rsidDel="00000000" w:rsidP="00000000" w:rsidRDefault="00000000" w:rsidRPr="00000000" w14:paraId="00000076">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240" w:lineRule="auto"/>
              <w:jc w:val="both"/>
              <w:rPr>
                <w:sz w:val="22"/>
                <w:szCs w:val="22"/>
              </w:rPr>
            </w:pPr>
            <w:r w:rsidDel="00000000" w:rsidR="00000000" w:rsidRPr="00000000">
              <w:rPr>
                <w:sz w:val="22"/>
                <w:szCs w:val="22"/>
                <w:rtl w:val="0"/>
              </w:rPr>
              <w:t xml:space="preserve">F04 Luare/prelevare de plante terestre, în general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7B">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7C">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D">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7E">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7F">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3">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89">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A">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C">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3">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24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24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A7">
      <w:pPr>
        <w:spacing w:after="0" w:line="240" w:lineRule="auto"/>
        <w:rPr>
          <w:sz w:val="22"/>
          <w:szCs w:val="22"/>
        </w:rPr>
      </w:pPr>
      <w:r w:rsidDel="00000000" w:rsidR="00000000" w:rsidRPr="00000000">
        <w:rPr>
          <w:rtl w:val="0"/>
        </w:rPr>
      </w:r>
    </w:p>
    <w:p w:rsidR="00000000" w:rsidDel="00000000" w:rsidP="00000000" w:rsidRDefault="00000000" w:rsidRPr="00000000" w14:paraId="000000A8">
      <w:pPr>
        <w:spacing w:after="80" w:before="240" w:line="24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Gherghel M. 1983. Unele aspect privind uscare stejarului  (Quercus robur) în pădurea Mociar. Ocolul Silvic Valea  Gurghiului</w:t>
      </w:r>
    </w:p>
    <w:p w:rsidR="00000000" w:rsidDel="00000000" w:rsidP="00000000" w:rsidRDefault="00000000" w:rsidRPr="00000000" w14:paraId="000000A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Mîndru, M., și colab. 2017. Forest Favorability in Mociar Forest, Romania. ProEnvironment 10  115 – 125</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Mîndru, M. și colab., 2018. The monitoring of forest coverage changes according to the remote sensing indices in the Mociar Forest. Geographia Napocensis, XII (1), pp. 27-34.</w:t>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Roșca, S., 2017. Research Regarding the Soil Characteristics and their Influence on Forest Productivity in the Mociar Forest, Mureş County. Bulletin UASVM Horticulture 74(2)</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Sămărghiţan M., Oroian S., Tanase C. – Contributions to the study of alien and invasive species in some protected areas in Mureş County, Romania. Acta Horti Bot. Bucurest. 2018, 45.</w:t>
      </w:r>
    </w:p>
    <w:p w:rsidR="00000000" w:rsidDel="00000000" w:rsidP="00000000" w:rsidRDefault="00000000" w:rsidRPr="00000000" w14:paraId="000000AE">
      <w:pPr>
        <w:spacing w:after="120" w:before="480" w:line="24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AF">
      <w:pPr>
        <w:spacing w:after="0" w:line="240" w:lineRule="auto"/>
        <w:rPr>
          <w:sz w:val="22"/>
          <w:szCs w:val="22"/>
        </w:rPr>
      </w:pPr>
      <w:r w:rsidDel="00000000" w:rsidR="00000000" w:rsidRPr="00000000">
        <w:rPr>
          <w:rtl w:val="0"/>
        </w:rPr>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pBdr>
        <w:spacing w:after="240" w:before="240" w:line="240" w:lineRule="auto"/>
        <w:jc w:val="both"/>
        <w:rPr>
          <w:sz w:val="22"/>
          <w:szCs w:val="22"/>
        </w:rPr>
      </w:pPr>
      <w:r w:rsidDel="00000000" w:rsidR="00000000" w:rsidRPr="00000000">
        <w:rPr>
          <w:sz w:val="22"/>
          <w:szCs w:val="22"/>
          <w:rtl w:val="0"/>
        </w:rPr>
        <w:t xml:space="preserve">Consultările publice  au fost realizate la: 1 octombrie 2024 – Târgu Mureș, jud. Mureș.Ulterior, în cadrul procesului de consultare extins la nivel național, au avut loc consultări suplimentare online, în data de 26 ianuarie 2026, cu participarea factorilor interesați relevanți din județul Mureș.</w:t>
      </w:r>
    </w:p>
    <w:p w:rsidR="00000000" w:rsidDel="00000000" w:rsidP="00000000" w:rsidRDefault="00000000" w:rsidRPr="00000000" w14:paraId="000000B1">
      <w:pPr>
        <w:spacing w:after="0" w:line="300" w:lineRule="auto"/>
        <w:jc w:val="center"/>
        <w:rPr>
          <w:b w:val="1"/>
          <w:bCs w:val="1"/>
          <w:sz w:val="22"/>
          <w:szCs w:val="22"/>
        </w:rPr>
      </w:pPr>
      <w:bookmarkStart w:colFirst="0" w:colLast="0" w:name="_heading=h.venjbad48mtw" w:id="0"/>
      <w:bookmarkEnd w:id="0"/>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2">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YnNQ3QaJEYjoz//lMxHpme0gg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dmVuamJhZDQ4bXR3OAByITFEQ0pqT0hHc0J0eEx0ZGtfZVFUaXh6Vnl1SzNtNlBQ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